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DCE" w14:textId="77777777" w:rsidR="00415119" w:rsidRDefault="00415119" w:rsidP="00415119">
      <w:pPr>
        <w:ind w:left="5760" w:firstLine="720"/>
      </w:pPr>
      <w:r>
        <w:rPr>
          <w:noProof/>
          <w:lang w:eastAsia="en-GB"/>
        </w:rPr>
        <mc:AlternateContent>
          <mc:Choice Requires="wps">
            <w:drawing>
              <wp:anchor distT="0" distB="0" distL="114300" distR="114300" simplePos="0" relativeHeight="251659264" behindDoc="0" locked="0" layoutInCell="1" allowOverlap="1" wp14:anchorId="5526D8DA" wp14:editId="4E5A092C">
                <wp:simplePos x="0" y="0"/>
                <wp:positionH relativeFrom="column">
                  <wp:align>center</wp:align>
                </wp:positionH>
                <wp:positionV relativeFrom="paragraph">
                  <wp:posOffset>0</wp:posOffset>
                </wp:positionV>
                <wp:extent cx="2524125" cy="1095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095375"/>
                        </a:xfrm>
                        <a:prstGeom prst="rect">
                          <a:avLst/>
                        </a:prstGeom>
                        <a:solidFill>
                          <a:srgbClr val="FFFFFF"/>
                        </a:solidFill>
                        <a:ln w="9525">
                          <a:noFill/>
                          <a:miter lim="800000"/>
                          <a:headEnd/>
                          <a:tailEnd/>
                        </a:ln>
                      </wps:spPr>
                      <wps:txbx>
                        <w:txbxContent>
                          <w:p w14:paraId="7BC04296" w14:textId="77777777" w:rsidR="00415119" w:rsidRPr="00CD57CF" w:rsidRDefault="00415119" w:rsidP="00415119">
                            <w:pPr>
                              <w:jc w:val="center"/>
                              <w:rPr>
                                <w:b/>
                                <w:sz w:val="28"/>
                                <w:szCs w:val="28"/>
                              </w:rPr>
                            </w:pPr>
                            <w:r w:rsidRPr="00CD57CF">
                              <w:rPr>
                                <w:b/>
                                <w:sz w:val="28"/>
                                <w:szCs w:val="28"/>
                              </w:rPr>
                              <w:t>The Blue Door</w:t>
                            </w:r>
                          </w:p>
                          <w:p w14:paraId="19C76C4E" w14:textId="77777777" w:rsidR="00415119" w:rsidRPr="00CD57CF" w:rsidRDefault="00415119" w:rsidP="00415119">
                            <w:pPr>
                              <w:jc w:val="center"/>
                              <w:rPr>
                                <w:b/>
                                <w:sz w:val="28"/>
                                <w:szCs w:val="28"/>
                              </w:rPr>
                            </w:pPr>
                            <w:r w:rsidRPr="00CD57CF">
                              <w:rPr>
                                <w:b/>
                                <w:sz w:val="28"/>
                                <w:szCs w:val="28"/>
                              </w:rPr>
                              <w:t>Domestic Abuse Training</w:t>
                            </w:r>
                          </w:p>
                          <w:p w14:paraId="1292B0E6" w14:textId="77777777" w:rsidR="00415119" w:rsidRPr="00CD57CF" w:rsidRDefault="00415119" w:rsidP="00415119">
                            <w:pPr>
                              <w:jc w:val="center"/>
                              <w:rPr>
                                <w:b/>
                                <w:sz w:val="28"/>
                                <w:szCs w:val="28"/>
                              </w:rPr>
                            </w:pPr>
                            <w:r w:rsidRPr="00CD57CF">
                              <w:rPr>
                                <w:b/>
                                <w:sz w:val="28"/>
                                <w:szCs w:val="28"/>
                              </w:rPr>
                              <w:t>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6D8DA" id="_x0000_t202" coordsize="21600,21600" o:spt="202" path="m,l,21600r21600,l21600,xe">
                <v:stroke joinstyle="miter"/>
                <v:path gradientshapeok="t" o:connecttype="rect"/>
              </v:shapetype>
              <v:shape id="Text Box 2" o:spid="_x0000_s1026" type="#_x0000_t202" style="position:absolute;left:0;text-align:left;margin-left:0;margin-top:0;width:198.75pt;height:86.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zzIgIAAB4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" stroked="f">
                <v:textbox>
                  <w:txbxContent>
                    <w:p w14:paraId="7BC04296" w14:textId="77777777" w:rsidR="00415119" w:rsidRPr="00CD57CF" w:rsidRDefault="00415119" w:rsidP="00415119">
                      <w:pPr>
                        <w:jc w:val="center"/>
                        <w:rPr>
                          <w:b/>
                          <w:sz w:val="28"/>
                          <w:szCs w:val="28"/>
                        </w:rPr>
                      </w:pPr>
                      <w:r w:rsidRPr="00CD57CF">
                        <w:rPr>
                          <w:b/>
                          <w:sz w:val="28"/>
                          <w:szCs w:val="28"/>
                        </w:rPr>
                        <w:t>The Blue Door</w:t>
                      </w:r>
                    </w:p>
                    <w:p w14:paraId="19C76C4E" w14:textId="77777777" w:rsidR="00415119" w:rsidRPr="00CD57CF" w:rsidRDefault="00415119" w:rsidP="00415119">
                      <w:pPr>
                        <w:jc w:val="center"/>
                        <w:rPr>
                          <w:b/>
                          <w:sz w:val="28"/>
                          <w:szCs w:val="28"/>
                        </w:rPr>
                      </w:pPr>
                      <w:r w:rsidRPr="00CD57CF">
                        <w:rPr>
                          <w:b/>
                          <w:sz w:val="28"/>
                          <w:szCs w:val="28"/>
                        </w:rPr>
                        <w:t>Domestic Abuse Training</w:t>
                      </w:r>
                    </w:p>
                    <w:p w14:paraId="1292B0E6" w14:textId="77777777" w:rsidR="00415119" w:rsidRPr="00CD57CF" w:rsidRDefault="00415119" w:rsidP="00415119">
                      <w:pPr>
                        <w:jc w:val="center"/>
                        <w:rPr>
                          <w:b/>
                          <w:sz w:val="28"/>
                          <w:szCs w:val="28"/>
                        </w:rPr>
                      </w:pPr>
                      <w:r w:rsidRPr="00CD57CF">
                        <w:rPr>
                          <w:b/>
                          <w:sz w:val="28"/>
                          <w:szCs w:val="28"/>
                        </w:rPr>
                        <w:t>Booking Form</w:t>
                      </w:r>
                    </w:p>
                  </w:txbxContent>
                </v:textbox>
              </v:shape>
            </w:pict>
          </mc:Fallback>
        </mc:AlternateContent>
      </w:r>
      <w:r>
        <w:rPr>
          <w:noProof/>
          <w:lang w:eastAsia="en-GB"/>
        </w:rPr>
        <w:drawing>
          <wp:inline distT="0" distB="0" distL="0" distR="0" wp14:anchorId="6F1EBEFD" wp14:editId="0991E03B">
            <wp:extent cx="89535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gif"/>
                    <pic:cNvPicPr/>
                  </pic:nvPicPr>
                  <pic:blipFill>
                    <a:blip r:embed="rId7">
                      <a:extLst>
                        <a:ext uri="{28A0092B-C50C-407E-A947-70E740481C1C}">
                          <a14:useLocalDpi xmlns:a14="http://schemas.microsoft.com/office/drawing/2010/main" val="0"/>
                        </a:ext>
                      </a:extLst>
                    </a:blip>
                    <a:stretch>
                      <a:fillRect/>
                    </a:stretch>
                  </pic:blipFill>
                  <pic:spPr>
                    <a:xfrm>
                      <a:off x="0" y="0"/>
                      <a:ext cx="898214" cy="716660"/>
                    </a:xfrm>
                    <a:prstGeom prst="rect">
                      <a:avLst/>
                    </a:prstGeom>
                  </pic:spPr>
                </pic:pic>
              </a:graphicData>
            </a:graphic>
          </wp:inline>
        </w:drawing>
      </w:r>
    </w:p>
    <w:p w14:paraId="25E66581" w14:textId="77777777" w:rsidR="00F134E3" w:rsidRDefault="00F134E3" w:rsidP="00415119">
      <w:pPr>
        <w:jc w:val="center"/>
        <w:rPr>
          <w:b/>
          <w:u w:val="single"/>
        </w:rPr>
      </w:pPr>
    </w:p>
    <w:p w14:paraId="12D0CC26" w14:textId="04878A05" w:rsidR="00415119" w:rsidRPr="00415119" w:rsidRDefault="00415119" w:rsidP="00415119">
      <w:pPr>
        <w:jc w:val="center"/>
        <w:rPr>
          <w:b/>
          <w:u w:val="single"/>
        </w:rPr>
      </w:pPr>
      <w:r w:rsidRPr="00415119">
        <w:rPr>
          <w:b/>
          <w:u w:val="single"/>
        </w:rPr>
        <w:t xml:space="preserve">You may book up to three courses on this form. Please </w:t>
      </w:r>
      <w:r w:rsidR="00576689">
        <w:rPr>
          <w:b/>
          <w:u w:val="single"/>
        </w:rPr>
        <w:t>note</w:t>
      </w:r>
      <w:r w:rsidRPr="00415119">
        <w:rPr>
          <w:b/>
          <w:u w:val="single"/>
        </w:rPr>
        <w:t xml:space="preserve"> you must have completed </w:t>
      </w:r>
      <w:r w:rsidR="004C1D49">
        <w:rPr>
          <w:b/>
          <w:u w:val="single"/>
        </w:rPr>
        <w:t>Domestic Abuse Awareness</w:t>
      </w:r>
      <w:r w:rsidRPr="00415119">
        <w:rPr>
          <w:b/>
          <w:u w:val="single"/>
        </w:rPr>
        <w:t xml:space="preserve"> training with The Blue Door </w:t>
      </w:r>
      <w:r w:rsidR="00352CD9">
        <w:rPr>
          <w:b/>
          <w:u w:val="single"/>
        </w:rPr>
        <w:t>prior to undertaking</w:t>
      </w:r>
      <w:r w:rsidRPr="00415119">
        <w:rPr>
          <w:b/>
          <w:u w:val="single"/>
        </w:rPr>
        <w:t xml:space="preserve"> </w:t>
      </w:r>
      <w:r w:rsidR="004C1D49">
        <w:rPr>
          <w:b/>
          <w:u w:val="single"/>
        </w:rPr>
        <w:t>Proficient Level</w:t>
      </w:r>
      <w:r w:rsidRPr="00415119">
        <w:rPr>
          <w:b/>
          <w:u w:val="single"/>
        </w:rPr>
        <w:t xml:space="preserve"> training.</w:t>
      </w:r>
    </w:p>
    <w:tbl>
      <w:tblPr>
        <w:tblStyle w:val="TableGrid"/>
        <w:tblW w:w="0" w:type="auto"/>
        <w:tblLook w:val="04A0" w:firstRow="1" w:lastRow="0" w:firstColumn="1" w:lastColumn="0" w:noHBand="0" w:noVBand="1"/>
      </w:tblPr>
      <w:tblGrid>
        <w:gridCol w:w="663"/>
        <w:gridCol w:w="2081"/>
        <w:gridCol w:w="4013"/>
        <w:gridCol w:w="2259"/>
      </w:tblGrid>
      <w:tr w:rsidR="00352CD9" w14:paraId="1D190811" w14:textId="77777777" w:rsidTr="00352CD9">
        <w:tc>
          <w:tcPr>
            <w:tcW w:w="675" w:type="dxa"/>
            <w:shd w:val="clear" w:color="auto" w:fill="8DB3E2" w:themeFill="text2" w:themeFillTint="66"/>
          </w:tcPr>
          <w:p w14:paraId="6F348FD0" w14:textId="77777777" w:rsidR="00352CD9" w:rsidRDefault="00352CD9" w:rsidP="00415119"/>
        </w:tc>
        <w:tc>
          <w:tcPr>
            <w:tcW w:w="2127" w:type="dxa"/>
            <w:shd w:val="clear" w:color="auto" w:fill="8DB3E2" w:themeFill="text2" w:themeFillTint="66"/>
          </w:tcPr>
          <w:p w14:paraId="4E7E1FBD" w14:textId="77777777" w:rsidR="00352CD9" w:rsidRDefault="00352CD9" w:rsidP="00415119">
            <w:r>
              <w:t>Course Code</w:t>
            </w:r>
          </w:p>
        </w:tc>
        <w:tc>
          <w:tcPr>
            <w:tcW w:w="4129" w:type="dxa"/>
            <w:shd w:val="clear" w:color="auto" w:fill="8DB3E2" w:themeFill="text2" w:themeFillTint="66"/>
          </w:tcPr>
          <w:p w14:paraId="57947531" w14:textId="77777777" w:rsidR="00352CD9" w:rsidRDefault="00352CD9" w:rsidP="00415119">
            <w:r>
              <w:t>Course Name</w:t>
            </w:r>
          </w:p>
        </w:tc>
        <w:tc>
          <w:tcPr>
            <w:tcW w:w="2311" w:type="dxa"/>
            <w:shd w:val="clear" w:color="auto" w:fill="8DB3E2" w:themeFill="text2" w:themeFillTint="66"/>
          </w:tcPr>
          <w:p w14:paraId="7560C957" w14:textId="77777777" w:rsidR="00352CD9" w:rsidRDefault="00352CD9" w:rsidP="00415119">
            <w:r>
              <w:t>Course Date</w:t>
            </w:r>
          </w:p>
        </w:tc>
      </w:tr>
      <w:tr w:rsidR="00352CD9" w14:paraId="09AC9BA8" w14:textId="77777777" w:rsidTr="00352CD9">
        <w:tc>
          <w:tcPr>
            <w:tcW w:w="675" w:type="dxa"/>
            <w:shd w:val="clear" w:color="auto" w:fill="8DB3E2" w:themeFill="text2" w:themeFillTint="66"/>
          </w:tcPr>
          <w:p w14:paraId="64573895" w14:textId="77777777" w:rsidR="00352CD9" w:rsidRDefault="00352CD9" w:rsidP="00415119">
            <w:r>
              <w:t>1</w:t>
            </w:r>
          </w:p>
        </w:tc>
        <w:tc>
          <w:tcPr>
            <w:tcW w:w="2127" w:type="dxa"/>
          </w:tcPr>
          <w:p w14:paraId="0122A61E" w14:textId="77777777" w:rsidR="00352CD9" w:rsidRDefault="00352CD9" w:rsidP="00415119"/>
          <w:p w14:paraId="294B7549" w14:textId="77777777" w:rsidR="00352CD9" w:rsidRDefault="00352CD9" w:rsidP="00415119"/>
        </w:tc>
        <w:tc>
          <w:tcPr>
            <w:tcW w:w="4129" w:type="dxa"/>
          </w:tcPr>
          <w:p w14:paraId="4EDF47B0" w14:textId="77777777" w:rsidR="00352CD9" w:rsidRDefault="00352CD9" w:rsidP="00415119"/>
        </w:tc>
        <w:tc>
          <w:tcPr>
            <w:tcW w:w="2311" w:type="dxa"/>
          </w:tcPr>
          <w:p w14:paraId="66CE0BEE" w14:textId="77777777" w:rsidR="00352CD9" w:rsidRDefault="00352CD9" w:rsidP="00415119"/>
        </w:tc>
      </w:tr>
      <w:tr w:rsidR="00352CD9" w14:paraId="1CB35CF7" w14:textId="77777777" w:rsidTr="00352CD9">
        <w:tc>
          <w:tcPr>
            <w:tcW w:w="675" w:type="dxa"/>
            <w:shd w:val="clear" w:color="auto" w:fill="8DB3E2" w:themeFill="text2" w:themeFillTint="66"/>
          </w:tcPr>
          <w:p w14:paraId="3DDC289D" w14:textId="77777777" w:rsidR="00352CD9" w:rsidRDefault="00352CD9" w:rsidP="00415119">
            <w:r>
              <w:t>2</w:t>
            </w:r>
          </w:p>
        </w:tc>
        <w:tc>
          <w:tcPr>
            <w:tcW w:w="2127" w:type="dxa"/>
          </w:tcPr>
          <w:p w14:paraId="420EEBCC" w14:textId="77777777" w:rsidR="00352CD9" w:rsidRDefault="00352CD9" w:rsidP="00415119"/>
          <w:p w14:paraId="5178C601" w14:textId="77777777" w:rsidR="00352CD9" w:rsidRDefault="00352CD9" w:rsidP="00415119"/>
        </w:tc>
        <w:tc>
          <w:tcPr>
            <w:tcW w:w="4129" w:type="dxa"/>
          </w:tcPr>
          <w:p w14:paraId="2150E67D" w14:textId="77777777" w:rsidR="00352CD9" w:rsidRDefault="00352CD9" w:rsidP="00415119"/>
        </w:tc>
        <w:tc>
          <w:tcPr>
            <w:tcW w:w="2311" w:type="dxa"/>
          </w:tcPr>
          <w:p w14:paraId="37A6FFE2" w14:textId="77777777" w:rsidR="00352CD9" w:rsidRDefault="00352CD9" w:rsidP="00415119"/>
        </w:tc>
      </w:tr>
      <w:tr w:rsidR="00352CD9" w14:paraId="67E667D7" w14:textId="77777777" w:rsidTr="00352CD9">
        <w:tc>
          <w:tcPr>
            <w:tcW w:w="675" w:type="dxa"/>
            <w:shd w:val="clear" w:color="auto" w:fill="8DB3E2" w:themeFill="text2" w:themeFillTint="66"/>
          </w:tcPr>
          <w:p w14:paraId="28023DBC" w14:textId="77777777" w:rsidR="00352CD9" w:rsidRDefault="00352CD9" w:rsidP="00415119">
            <w:r>
              <w:t>3</w:t>
            </w:r>
          </w:p>
        </w:tc>
        <w:tc>
          <w:tcPr>
            <w:tcW w:w="2127" w:type="dxa"/>
          </w:tcPr>
          <w:p w14:paraId="79070C24" w14:textId="77777777" w:rsidR="00352CD9" w:rsidRDefault="00352CD9" w:rsidP="00415119"/>
          <w:p w14:paraId="1E69BFC9" w14:textId="77777777" w:rsidR="00352CD9" w:rsidRDefault="00352CD9" w:rsidP="00415119"/>
        </w:tc>
        <w:tc>
          <w:tcPr>
            <w:tcW w:w="4129" w:type="dxa"/>
          </w:tcPr>
          <w:p w14:paraId="59EF3B7D" w14:textId="77777777" w:rsidR="00352CD9" w:rsidRDefault="00352CD9" w:rsidP="00415119"/>
        </w:tc>
        <w:tc>
          <w:tcPr>
            <w:tcW w:w="2311" w:type="dxa"/>
          </w:tcPr>
          <w:p w14:paraId="49CA1076" w14:textId="77777777" w:rsidR="00352CD9" w:rsidRDefault="00352CD9" w:rsidP="00415119"/>
        </w:tc>
      </w:tr>
    </w:tbl>
    <w:p w14:paraId="0D2A8F4E" w14:textId="77777777" w:rsidR="00415119" w:rsidRDefault="00415119" w:rsidP="00415119"/>
    <w:tbl>
      <w:tblPr>
        <w:tblStyle w:val="TableGrid"/>
        <w:tblW w:w="0" w:type="auto"/>
        <w:tblLook w:val="04A0" w:firstRow="1" w:lastRow="0" w:firstColumn="1" w:lastColumn="0" w:noHBand="0" w:noVBand="1"/>
      </w:tblPr>
      <w:tblGrid>
        <w:gridCol w:w="2283"/>
        <w:gridCol w:w="6733"/>
      </w:tblGrid>
      <w:tr w:rsidR="007732B7" w14:paraId="0660A819" w14:textId="77777777" w:rsidTr="007732B7">
        <w:tc>
          <w:tcPr>
            <w:tcW w:w="9242" w:type="dxa"/>
            <w:gridSpan w:val="2"/>
            <w:shd w:val="clear" w:color="auto" w:fill="8DB3E2" w:themeFill="text2" w:themeFillTint="66"/>
          </w:tcPr>
          <w:p w14:paraId="34C861E7" w14:textId="77777777" w:rsidR="007732B7" w:rsidRDefault="007732B7" w:rsidP="00415119">
            <w:r>
              <w:t>PERSONAL DETAILS</w:t>
            </w:r>
          </w:p>
        </w:tc>
      </w:tr>
      <w:tr w:rsidR="007732B7" w14:paraId="0713C1B9" w14:textId="77777777" w:rsidTr="007732B7">
        <w:tc>
          <w:tcPr>
            <w:tcW w:w="2310" w:type="dxa"/>
            <w:shd w:val="clear" w:color="auto" w:fill="8DB3E2" w:themeFill="text2" w:themeFillTint="66"/>
          </w:tcPr>
          <w:p w14:paraId="451D7E01" w14:textId="77777777" w:rsidR="007732B7" w:rsidRDefault="007732B7" w:rsidP="00415119">
            <w:r>
              <w:t>Name:</w:t>
            </w:r>
          </w:p>
        </w:tc>
        <w:tc>
          <w:tcPr>
            <w:tcW w:w="6932" w:type="dxa"/>
          </w:tcPr>
          <w:p w14:paraId="1777CBAD" w14:textId="77777777" w:rsidR="007732B7" w:rsidRDefault="007732B7" w:rsidP="00415119"/>
          <w:p w14:paraId="69CD611F" w14:textId="77777777" w:rsidR="007732B7" w:rsidRDefault="007732B7" w:rsidP="00415119"/>
        </w:tc>
      </w:tr>
      <w:tr w:rsidR="007732B7" w14:paraId="497E6E99" w14:textId="77777777" w:rsidTr="007732B7">
        <w:tc>
          <w:tcPr>
            <w:tcW w:w="2310" w:type="dxa"/>
            <w:shd w:val="clear" w:color="auto" w:fill="8DB3E2" w:themeFill="text2" w:themeFillTint="66"/>
          </w:tcPr>
          <w:p w14:paraId="1BFB996C" w14:textId="77777777" w:rsidR="007732B7" w:rsidRDefault="007732B7" w:rsidP="00415119">
            <w:r>
              <w:t>Organisation:</w:t>
            </w:r>
          </w:p>
        </w:tc>
        <w:tc>
          <w:tcPr>
            <w:tcW w:w="6932" w:type="dxa"/>
          </w:tcPr>
          <w:p w14:paraId="1E397517" w14:textId="77777777" w:rsidR="007732B7" w:rsidRDefault="007732B7" w:rsidP="00415119"/>
          <w:p w14:paraId="1D4DB751" w14:textId="77777777" w:rsidR="007732B7" w:rsidRDefault="007732B7" w:rsidP="00415119"/>
        </w:tc>
      </w:tr>
      <w:tr w:rsidR="007732B7" w14:paraId="4E738507" w14:textId="77777777" w:rsidTr="007732B7">
        <w:tc>
          <w:tcPr>
            <w:tcW w:w="2310" w:type="dxa"/>
            <w:shd w:val="clear" w:color="auto" w:fill="8DB3E2" w:themeFill="text2" w:themeFillTint="66"/>
          </w:tcPr>
          <w:p w14:paraId="1265CB10" w14:textId="77777777" w:rsidR="007732B7" w:rsidRDefault="007732B7" w:rsidP="00415119">
            <w:r>
              <w:t>Address:</w:t>
            </w:r>
          </w:p>
        </w:tc>
        <w:tc>
          <w:tcPr>
            <w:tcW w:w="6932" w:type="dxa"/>
          </w:tcPr>
          <w:p w14:paraId="662BD25E" w14:textId="77777777" w:rsidR="007732B7" w:rsidRDefault="007732B7" w:rsidP="00415119"/>
          <w:p w14:paraId="3A324AC6" w14:textId="77777777" w:rsidR="007732B7" w:rsidRDefault="007732B7" w:rsidP="00415119"/>
          <w:p w14:paraId="366B539D" w14:textId="77777777" w:rsidR="007732B7" w:rsidRDefault="007732B7" w:rsidP="00415119"/>
        </w:tc>
      </w:tr>
      <w:tr w:rsidR="007732B7" w14:paraId="20E1FB46" w14:textId="77777777" w:rsidTr="007732B7">
        <w:tc>
          <w:tcPr>
            <w:tcW w:w="2310" w:type="dxa"/>
            <w:shd w:val="clear" w:color="auto" w:fill="8DB3E2" w:themeFill="text2" w:themeFillTint="66"/>
          </w:tcPr>
          <w:p w14:paraId="40C332F6" w14:textId="77777777" w:rsidR="007732B7" w:rsidRDefault="007732B7" w:rsidP="00415119">
            <w:r>
              <w:t>Email:</w:t>
            </w:r>
          </w:p>
        </w:tc>
        <w:tc>
          <w:tcPr>
            <w:tcW w:w="6932" w:type="dxa"/>
          </w:tcPr>
          <w:p w14:paraId="1B86E3E8" w14:textId="77777777" w:rsidR="007732B7" w:rsidRDefault="007732B7" w:rsidP="00415119"/>
        </w:tc>
      </w:tr>
      <w:tr w:rsidR="007732B7" w14:paraId="7E6E1BFA" w14:textId="77777777" w:rsidTr="007732B7">
        <w:tc>
          <w:tcPr>
            <w:tcW w:w="2310" w:type="dxa"/>
            <w:shd w:val="clear" w:color="auto" w:fill="8DB3E2" w:themeFill="text2" w:themeFillTint="66"/>
          </w:tcPr>
          <w:p w14:paraId="1871648E" w14:textId="77777777" w:rsidR="007732B7" w:rsidRDefault="007732B7" w:rsidP="00415119">
            <w:r>
              <w:t>Telephone:</w:t>
            </w:r>
          </w:p>
          <w:p w14:paraId="512B50EF" w14:textId="77777777" w:rsidR="00447641" w:rsidRPr="00447641" w:rsidRDefault="00447641" w:rsidP="00447641">
            <w:pPr>
              <w:rPr>
                <w:b/>
                <w:sz w:val="20"/>
                <w:szCs w:val="20"/>
              </w:rPr>
            </w:pPr>
          </w:p>
        </w:tc>
        <w:tc>
          <w:tcPr>
            <w:tcW w:w="6932" w:type="dxa"/>
          </w:tcPr>
          <w:p w14:paraId="05CCC741" w14:textId="77777777" w:rsidR="007732B7" w:rsidRDefault="00447641" w:rsidP="00415119">
            <w:pPr>
              <w:rPr>
                <w:b/>
                <w:i/>
                <w:sz w:val="20"/>
                <w:szCs w:val="20"/>
              </w:rPr>
            </w:pPr>
            <w:r w:rsidRPr="00447641">
              <w:rPr>
                <w:b/>
                <w:i/>
                <w:sz w:val="20"/>
                <w:szCs w:val="20"/>
              </w:rPr>
              <w:t>(Please provide a personal contact number – this will only be used in the event that there is a cancellation)</w:t>
            </w:r>
          </w:p>
          <w:p w14:paraId="1C04C7B5" w14:textId="77777777" w:rsidR="00447641" w:rsidRPr="00447641" w:rsidRDefault="00447641" w:rsidP="00415119">
            <w:pPr>
              <w:rPr>
                <w:i/>
              </w:rPr>
            </w:pPr>
          </w:p>
        </w:tc>
      </w:tr>
      <w:tr w:rsidR="007732B7" w14:paraId="21A184AC" w14:textId="77777777" w:rsidTr="007732B7">
        <w:tc>
          <w:tcPr>
            <w:tcW w:w="2310" w:type="dxa"/>
            <w:shd w:val="clear" w:color="auto" w:fill="8DB3E2" w:themeFill="text2" w:themeFillTint="66"/>
          </w:tcPr>
          <w:p w14:paraId="613452FC" w14:textId="77777777" w:rsidR="007732B7" w:rsidRDefault="007732B7" w:rsidP="00415119">
            <w:r>
              <w:t>Any Special Requirements:</w:t>
            </w:r>
          </w:p>
        </w:tc>
        <w:tc>
          <w:tcPr>
            <w:tcW w:w="6932" w:type="dxa"/>
          </w:tcPr>
          <w:p w14:paraId="2F606F7B" w14:textId="77777777" w:rsidR="007732B7" w:rsidRDefault="007732B7" w:rsidP="00415119"/>
        </w:tc>
      </w:tr>
      <w:tr w:rsidR="007732B7" w14:paraId="468623B9" w14:textId="77777777" w:rsidTr="007732B7">
        <w:tc>
          <w:tcPr>
            <w:tcW w:w="2310" w:type="dxa"/>
            <w:shd w:val="clear" w:color="auto" w:fill="8DB3E2" w:themeFill="text2" w:themeFillTint="66"/>
          </w:tcPr>
          <w:p w14:paraId="4C6B7CCC" w14:textId="77777777" w:rsidR="007732B7" w:rsidRDefault="007732B7" w:rsidP="00415119">
            <w:r>
              <w:t>Please provide details of where to invoice if different from above:</w:t>
            </w:r>
          </w:p>
        </w:tc>
        <w:tc>
          <w:tcPr>
            <w:tcW w:w="6932" w:type="dxa"/>
          </w:tcPr>
          <w:p w14:paraId="529F6E6F" w14:textId="77777777" w:rsidR="007732B7" w:rsidRDefault="007732B7" w:rsidP="00415119"/>
          <w:p w14:paraId="495C6760" w14:textId="77777777" w:rsidR="007732B7" w:rsidRDefault="007732B7" w:rsidP="00415119"/>
          <w:p w14:paraId="78F6998D" w14:textId="77777777" w:rsidR="007732B7" w:rsidRDefault="007732B7" w:rsidP="00415119"/>
          <w:p w14:paraId="276DA199" w14:textId="77777777" w:rsidR="007732B7" w:rsidRDefault="007732B7" w:rsidP="00415119"/>
          <w:p w14:paraId="33DD294C" w14:textId="77777777" w:rsidR="007732B7" w:rsidRDefault="007732B7" w:rsidP="00415119"/>
        </w:tc>
      </w:tr>
    </w:tbl>
    <w:p w14:paraId="23154541" w14:textId="77777777" w:rsidR="00F134E3" w:rsidRDefault="00F134E3" w:rsidP="00F134E3">
      <w:pPr>
        <w:spacing w:line="240" w:lineRule="auto"/>
        <w:jc w:val="center"/>
        <w:rPr>
          <w:b/>
          <w:i/>
          <w:sz w:val="18"/>
          <w:szCs w:val="18"/>
        </w:rPr>
      </w:pPr>
    </w:p>
    <w:p w14:paraId="020E8850" w14:textId="77777777" w:rsidR="007732B7" w:rsidRPr="00CD57CF" w:rsidRDefault="007732B7" w:rsidP="00F134E3">
      <w:pPr>
        <w:spacing w:line="240" w:lineRule="auto"/>
        <w:jc w:val="center"/>
        <w:rPr>
          <w:b/>
          <w:sz w:val="18"/>
          <w:szCs w:val="18"/>
        </w:rPr>
      </w:pPr>
      <w:r w:rsidRPr="00CD57CF">
        <w:rPr>
          <w:b/>
          <w:sz w:val="18"/>
          <w:szCs w:val="18"/>
        </w:rPr>
        <w:t xml:space="preserve">Please return your completed booking form to </w:t>
      </w:r>
      <w:hyperlink r:id="rId8" w:history="1">
        <w:r w:rsidRPr="00CD57CF">
          <w:rPr>
            <w:rStyle w:val="Hyperlink"/>
            <w:b/>
            <w:sz w:val="18"/>
            <w:szCs w:val="18"/>
          </w:rPr>
          <w:t>info@thebluedoor.org</w:t>
        </w:r>
      </w:hyperlink>
    </w:p>
    <w:p w14:paraId="0290134C" w14:textId="77777777" w:rsidR="00F134E3" w:rsidRPr="00CD57CF" w:rsidRDefault="00F134E3" w:rsidP="00F134E3">
      <w:pPr>
        <w:spacing w:line="240" w:lineRule="auto"/>
        <w:jc w:val="center"/>
        <w:rPr>
          <w:b/>
          <w:sz w:val="18"/>
          <w:szCs w:val="18"/>
        </w:rPr>
      </w:pPr>
      <w:r w:rsidRPr="00CD57CF">
        <w:rPr>
          <w:b/>
          <w:sz w:val="18"/>
          <w:szCs w:val="18"/>
        </w:rPr>
        <w:t>Confirmation of course bookings will be sent via email to the email address supplied</w:t>
      </w:r>
    </w:p>
    <w:p w14:paraId="6C4100DC" w14:textId="77777777" w:rsidR="00F134E3" w:rsidRDefault="00F134E3" w:rsidP="00F134E3">
      <w:pPr>
        <w:spacing w:line="240" w:lineRule="auto"/>
        <w:jc w:val="center"/>
        <w:rPr>
          <w:b/>
          <w:sz w:val="18"/>
          <w:szCs w:val="18"/>
        </w:rPr>
      </w:pPr>
      <w:r w:rsidRPr="00CD57CF">
        <w:rPr>
          <w:b/>
          <w:sz w:val="18"/>
          <w:szCs w:val="18"/>
        </w:rPr>
        <w:t>For any queries in relation to training please contact Victoria Fawcett on 0800 197 47 87</w:t>
      </w:r>
    </w:p>
    <w:p w14:paraId="14CAD5E1" w14:textId="77777777" w:rsidR="00352CD9" w:rsidRDefault="00352CD9" w:rsidP="00447641">
      <w:pPr>
        <w:spacing w:line="240" w:lineRule="auto"/>
        <w:jc w:val="center"/>
        <w:rPr>
          <w:b/>
          <w:sz w:val="28"/>
          <w:szCs w:val="28"/>
          <w:u w:val="single"/>
        </w:rPr>
      </w:pPr>
      <w:r>
        <w:rPr>
          <w:b/>
        </w:rPr>
        <w:t>By submitting this form you are agreeing to abide by the Terms and Conditions overleaf</w:t>
      </w:r>
      <w:r>
        <w:rPr>
          <w:b/>
          <w:sz w:val="28"/>
          <w:szCs w:val="28"/>
          <w:u w:val="single"/>
        </w:rPr>
        <w:br w:type="page"/>
      </w:r>
    </w:p>
    <w:p w14:paraId="447BE28B" w14:textId="77777777" w:rsidR="007732B7" w:rsidRPr="00D47AFE" w:rsidRDefault="00F134E3" w:rsidP="00F134E3">
      <w:pPr>
        <w:jc w:val="center"/>
        <w:rPr>
          <w:b/>
          <w:u w:val="single"/>
        </w:rPr>
      </w:pPr>
      <w:r w:rsidRPr="00D47AFE">
        <w:rPr>
          <w:b/>
          <w:u w:val="single"/>
        </w:rPr>
        <w:lastRenderedPageBreak/>
        <w:t>The Blue Door Training – Term and Conditions</w:t>
      </w:r>
    </w:p>
    <w:p w14:paraId="5FAEC51D" w14:textId="77777777" w:rsidR="00352CD9" w:rsidRPr="00D47AFE" w:rsidRDefault="00352CD9" w:rsidP="00352CD9">
      <w:pPr>
        <w:jc w:val="both"/>
      </w:pPr>
      <w:r w:rsidRPr="00D47AFE">
        <w:rPr>
          <w:b/>
        </w:rPr>
        <w:t xml:space="preserve">Eligibility </w:t>
      </w:r>
      <w:r w:rsidRPr="00D47AFE">
        <w:t>– Our funding only allows us to deliver training to professionals based in North Lincolnshire</w:t>
      </w:r>
    </w:p>
    <w:p w14:paraId="4ECCC279" w14:textId="77777777" w:rsidR="00F134E3" w:rsidRPr="00D47AFE" w:rsidRDefault="00F134E3" w:rsidP="00F134E3">
      <w:pPr>
        <w:jc w:val="both"/>
      </w:pPr>
      <w:r w:rsidRPr="00D47AFE">
        <w:rPr>
          <w:b/>
        </w:rPr>
        <w:t>Cancellation Policy</w:t>
      </w:r>
      <w:r w:rsidRPr="00D47AFE">
        <w:t xml:space="preserve"> – Havin</w:t>
      </w:r>
      <w:r w:rsidR="00352CD9" w:rsidRPr="00D47AFE">
        <w:t>g booked onto a course we hope you will</w:t>
      </w:r>
      <w:r w:rsidRPr="00D47AFE">
        <w:t xml:space="preserve"> attend. If you subsequently find that you are unable to attend you must inform us at your earliest opportunity. In this instance the following options are available:</w:t>
      </w:r>
    </w:p>
    <w:p w14:paraId="204D8D1A" w14:textId="77777777" w:rsidR="00F134E3" w:rsidRPr="00D47AFE" w:rsidRDefault="00E0745C" w:rsidP="00F134E3">
      <w:pPr>
        <w:pStyle w:val="ListParagraph"/>
        <w:numPr>
          <w:ilvl w:val="0"/>
          <w:numId w:val="1"/>
        </w:numPr>
        <w:jc w:val="both"/>
      </w:pPr>
      <w:r w:rsidRPr="00D47AFE">
        <w:t>You may be able to substitute your place to someone else in your organisation (this is only with our prior agreement</w:t>
      </w:r>
      <w:r w:rsidR="000B4FE8" w:rsidRPr="00D47AFE">
        <w:t xml:space="preserve"> and may only be done once</w:t>
      </w:r>
      <w:r w:rsidRPr="00D47AFE">
        <w:t>)</w:t>
      </w:r>
    </w:p>
    <w:p w14:paraId="5A2ADC8F" w14:textId="77777777" w:rsidR="00E0745C" w:rsidRPr="00D47AFE" w:rsidRDefault="00352CD9" w:rsidP="00F134E3">
      <w:pPr>
        <w:pStyle w:val="ListParagraph"/>
        <w:numPr>
          <w:ilvl w:val="0"/>
          <w:numId w:val="1"/>
        </w:numPr>
        <w:jc w:val="both"/>
      </w:pPr>
      <w:r w:rsidRPr="00D47AFE">
        <w:t xml:space="preserve">You </w:t>
      </w:r>
      <w:r w:rsidR="00E0745C" w:rsidRPr="00D47AFE">
        <w:t xml:space="preserve">may </w:t>
      </w:r>
      <w:r w:rsidRPr="00D47AFE">
        <w:t xml:space="preserve">at the time of cancellation request to </w:t>
      </w:r>
      <w:r w:rsidR="00E0745C" w:rsidRPr="00D47AFE">
        <w:t xml:space="preserve">book onto the same course </w:t>
      </w:r>
      <w:r w:rsidRPr="00D47AFE">
        <w:t>at a later date</w:t>
      </w:r>
    </w:p>
    <w:p w14:paraId="395C4A0B" w14:textId="77777777" w:rsidR="00E0745C" w:rsidRPr="00D47AFE" w:rsidRDefault="00E0745C" w:rsidP="00F134E3">
      <w:pPr>
        <w:pStyle w:val="ListParagraph"/>
        <w:numPr>
          <w:ilvl w:val="0"/>
          <w:numId w:val="1"/>
        </w:numPr>
        <w:jc w:val="both"/>
      </w:pPr>
      <w:r w:rsidRPr="00D47AFE">
        <w:t>If you no longer wish to attend the course and are unable to substitute your place our cancellation charges will apply</w:t>
      </w:r>
    </w:p>
    <w:p w14:paraId="249157A6" w14:textId="77777777" w:rsidR="000B4FE8" w:rsidRPr="00D47AFE" w:rsidRDefault="000B4FE8" w:rsidP="00F134E3">
      <w:pPr>
        <w:pStyle w:val="ListParagraph"/>
        <w:numPr>
          <w:ilvl w:val="0"/>
          <w:numId w:val="1"/>
        </w:numPr>
        <w:jc w:val="both"/>
      </w:pPr>
      <w:r w:rsidRPr="00D47AFE">
        <w:t>If the place has previously been substituted and they are then unable to attend our cancellation charges will</w:t>
      </w:r>
      <w:r w:rsidR="00352CD9" w:rsidRPr="00D47AFE">
        <w:t xml:space="preserve"> also</w:t>
      </w:r>
      <w:r w:rsidRPr="00D47AFE">
        <w:t xml:space="preserve"> apply </w:t>
      </w:r>
    </w:p>
    <w:p w14:paraId="76DC3200" w14:textId="77777777" w:rsidR="00F60D26" w:rsidRPr="00D47AFE" w:rsidRDefault="00352CD9" w:rsidP="00F60D26">
      <w:pPr>
        <w:jc w:val="center"/>
        <w:rPr>
          <w:u w:val="single"/>
        </w:rPr>
      </w:pPr>
      <w:r w:rsidRPr="00D47AFE">
        <w:rPr>
          <w:u w:val="single"/>
        </w:rPr>
        <w:t>We are a small organisation and may on occasion</w:t>
      </w:r>
      <w:r w:rsidR="00F60D26" w:rsidRPr="00D47AFE">
        <w:rPr>
          <w:u w:val="single"/>
        </w:rPr>
        <w:t xml:space="preserve"> have to cancel training</w:t>
      </w:r>
      <w:r w:rsidRPr="00D47AFE">
        <w:rPr>
          <w:u w:val="single"/>
        </w:rPr>
        <w:t>. In such circumstances</w:t>
      </w:r>
      <w:r w:rsidR="00F60D26" w:rsidRPr="00D47AFE">
        <w:rPr>
          <w:u w:val="single"/>
        </w:rPr>
        <w:t xml:space="preserve"> you have the right to either booking onto the next available course or a full refund of any fees paid.</w:t>
      </w:r>
    </w:p>
    <w:p w14:paraId="78771AC4" w14:textId="77777777" w:rsidR="00E0745C" w:rsidRPr="00D47AFE" w:rsidRDefault="00E0745C" w:rsidP="00E0745C">
      <w:pPr>
        <w:jc w:val="both"/>
      </w:pPr>
      <w:r w:rsidRPr="00D47AFE">
        <w:rPr>
          <w:b/>
        </w:rPr>
        <w:t>Cancellation Charges</w:t>
      </w:r>
      <w:r w:rsidRPr="00D47AFE">
        <w:t xml:space="preserve"> – The following charges apply to all training courses. Please be aware that in relation to free Level 1 training a mandatory</w:t>
      </w:r>
      <w:r w:rsidR="00352CD9" w:rsidRPr="00D47AFE">
        <w:t xml:space="preserve"> cancellation</w:t>
      </w:r>
      <w:r w:rsidRPr="00D47AFE">
        <w:t xml:space="preserve"> fee of </w:t>
      </w:r>
      <w:r w:rsidRPr="00D47AFE">
        <w:rPr>
          <w:u w:val="single"/>
        </w:rPr>
        <w:t>£10</w:t>
      </w:r>
      <w:r w:rsidRPr="00D47AFE">
        <w:t xml:space="preserve"> will apply.</w:t>
      </w:r>
    </w:p>
    <w:p w14:paraId="0C4AB948" w14:textId="77777777" w:rsidR="00E0745C" w:rsidRPr="00D47AFE" w:rsidRDefault="00E0745C" w:rsidP="00CD57CF">
      <w:pPr>
        <w:pStyle w:val="ListParagraph"/>
        <w:numPr>
          <w:ilvl w:val="0"/>
          <w:numId w:val="2"/>
        </w:numPr>
        <w:jc w:val="both"/>
      </w:pPr>
      <w:r w:rsidRPr="00D47AFE">
        <w:t xml:space="preserve">Cancellation of courses with more than 2 </w:t>
      </w:r>
      <w:proofErr w:type="spellStart"/>
      <w:r w:rsidRPr="00D47AFE">
        <w:t>weeks notice</w:t>
      </w:r>
      <w:proofErr w:type="spellEnd"/>
      <w:r w:rsidRPr="00D47AFE">
        <w:t xml:space="preserve"> </w:t>
      </w:r>
      <w:r w:rsidRPr="00D47AFE">
        <w:rPr>
          <w:u w:val="single"/>
        </w:rPr>
        <w:t>£10.</w:t>
      </w:r>
      <w:r w:rsidR="00352CD9" w:rsidRPr="00D47AFE">
        <w:t xml:space="preserve"> (All courses including free courses)</w:t>
      </w:r>
    </w:p>
    <w:p w14:paraId="29B2BE2C" w14:textId="77777777" w:rsidR="00E0745C" w:rsidRPr="00D47AFE" w:rsidRDefault="00E0745C" w:rsidP="00CD57CF">
      <w:pPr>
        <w:pStyle w:val="ListParagraph"/>
        <w:numPr>
          <w:ilvl w:val="0"/>
          <w:numId w:val="2"/>
        </w:numPr>
        <w:jc w:val="both"/>
      </w:pPr>
      <w:r w:rsidRPr="00D47AFE">
        <w:t xml:space="preserve">Cancellation of courses with less than 2 </w:t>
      </w:r>
      <w:proofErr w:type="spellStart"/>
      <w:r w:rsidRPr="00D47AFE">
        <w:t>weeks notice</w:t>
      </w:r>
      <w:proofErr w:type="spellEnd"/>
      <w:r w:rsidRPr="00D47AFE">
        <w:t xml:space="preserve"> </w:t>
      </w:r>
      <w:r w:rsidRPr="00D47AFE">
        <w:rPr>
          <w:u w:val="single"/>
        </w:rPr>
        <w:t>full course fee is payable</w:t>
      </w:r>
      <w:r w:rsidRPr="00D47AFE">
        <w:t xml:space="preserve"> (for free courses</w:t>
      </w:r>
      <w:r w:rsidR="00442ADD" w:rsidRPr="00D47AFE">
        <w:t xml:space="preserve"> a</w:t>
      </w:r>
      <w:r w:rsidRPr="00D47AFE">
        <w:t xml:space="preserve"> mandatory fee of £10 applies)</w:t>
      </w:r>
    </w:p>
    <w:p w14:paraId="49366E9B" w14:textId="77777777" w:rsidR="00442ADD" w:rsidRPr="00D47AFE" w:rsidRDefault="00442ADD" w:rsidP="00442ADD">
      <w:pPr>
        <w:ind w:left="360"/>
        <w:jc w:val="center"/>
        <w:rPr>
          <w:b/>
        </w:rPr>
      </w:pPr>
      <w:r w:rsidRPr="00D47AFE">
        <w:rPr>
          <w:b/>
        </w:rPr>
        <w:t>All cancellation charges will be invoiced direct to your organisation. Any unpaid cancellation changes will result in any further bookings being placed on hold until payment is received.</w:t>
      </w:r>
    </w:p>
    <w:p w14:paraId="483E1B3B" w14:textId="77777777" w:rsidR="00442ADD" w:rsidRPr="00D47AFE" w:rsidRDefault="00442ADD" w:rsidP="00442ADD">
      <w:pPr>
        <w:jc w:val="both"/>
      </w:pPr>
      <w:r w:rsidRPr="00D47AFE">
        <w:rPr>
          <w:b/>
        </w:rPr>
        <w:t xml:space="preserve">Location </w:t>
      </w:r>
      <w:r w:rsidRPr="00D47AFE">
        <w:t>– All training takes place at The Blue Door in Scunthorpe unless explicitly stated otherwise.</w:t>
      </w:r>
    </w:p>
    <w:p w14:paraId="11A787FE" w14:textId="77777777" w:rsidR="00E0745C" w:rsidRPr="00D47AFE" w:rsidRDefault="00E0745C" w:rsidP="00E0745C">
      <w:pPr>
        <w:jc w:val="both"/>
      </w:pPr>
      <w:r w:rsidRPr="00D47AFE">
        <w:rPr>
          <w:b/>
        </w:rPr>
        <w:t>Accessibility</w:t>
      </w:r>
      <w:r w:rsidRPr="00D47AFE">
        <w:t xml:space="preserve"> – Please be aware that all training </w:t>
      </w:r>
      <w:r w:rsidR="00442ADD" w:rsidRPr="00D47AFE">
        <w:t xml:space="preserve">at The Blue Door </w:t>
      </w:r>
      <w:r w:rsidRPr="00D47AFE">
        <w:t>takes place in an upstairs conference room. This may prevent access for anyone with limited mobility. If you wish to visit the centre to determine whether there will be any issues with access please contact us to arrange this.</w:t>
      </w:r>
    </w:p>
    <w:p w14:paraId="6318E1C7" w14:textId="77777777" w:rsidR="00E0745C" w:rsidRPr="00D47AFE" w:rsidRDefault="00E0745C" w:rsidP="00E0745C">
      <w:pPr>
        <w:jc w:val="both"/>
      </w:pPr>
      <w:r w:rsidRPr="00D47AFE">
        <w:rPr>
          <w:b/>
        </w:rPr>
        <w:t>Car Parking</w:t>
      </w:r>
      <w:r w:rsidRPr="00D47AFE">
        <w:t xml:space="preserve"> – There is a Pay and Display Public Car Park at the rear of the building.</w:t>
      </w:r>
    </w:p>
    <w:p w14:paraId="4C9A8C93" w14:textId="77777777" w:rsidR="00CA3102" w:rsidRPr="00D47AFE" w:rsidRDefault="00F60D26" w:rsidP="003E032E">
      <w:pPr>
        <w:jc w:val="both"/>
      </w:pPr>
      <w:r w:rsidRPr="00D47AFE">
        <w:rPr>
          <w:b/>
        </w:rPr>
        <w:t>Multiple Bookings</w:t>
      </w:r>
      <w:r w:rsidRPr="00D47AFE">
        <w:t xml:space="preserve"> – Please be aware that we do not allow more than </w:t>
      </w:r>
      <w:r w:rsidRPr="00D47AFE">
        <w:rPr>
          <w:b/>
          <w:u w:val="single"/>
        </w:rPr>
        <w:t>3</w:t>
      </w:r>
      <w:r w:rsidRPr="00D47AFE">
        <w:t xml:space="preserve"> places to booked by a single organisation on any one course. This is due to the high demand and limited number of places on each course.</w:t>
      </w:r>
    </w:p>
    <w:p w14:paraId="600FB1DA" w14:textId="77777777" w:rsidR="008D7BB0" w:rsidRPr="00D47AFE" w:rsidRDefault="008D7BB0" w:rsidP="008D7BB0">
      <w:pPr>
        <w:jc w:val="both"/>
      </w:pPr>
      <w:r w:rsidRPr="00D47AFE">
        <w:rPr>
          <w:b/>
        </w:rPr>
        <w:t xml:space="preserve">Refreshments </w:t>
      </w:r>
      <w:r w:rsidRPr="00D47AFE">
        <w:t xml:space="preserve">- Tea and Coffee is provided free of charge. You are welcome </w:t>
      </w:r>
      <w:r w:rsidR="00D47AFE" w:rsidRPr="00D47AFE">
        <w:t>to bring your own lunch, however we are also within walking distance of local shops.</w:t>
      </w:r>
    </w:p>
    <w:sectPr w:rsidR="008D7BB0" w:rsidRPr="00D47A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DAEE" w14:textId="77777777" w:rsidR="00DB7C98" w:rsidRDefault="00DB7C98" w:rsidP="003E032E">
      <w:pPr>
        <w:spacing w:after="0" w:line="240" w:lineRule="auto"/>
      </w:pPr>
      <w:r>
        <w:separator/>
      </w:r>
    </w:p>
  </w:endnote>
  <w:endnote w:type="continuationSeparator" w:id="0">
    <w:p w14:paraId="36A25B87" w14:textId="77777777" w:rsidR="00DB7C98" w:rsidRDefault="00DB7C98" w:rsidP="003E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DDFC" w14:textId="77777777" w:rsidR="003E032E" w:rsidRPr="00CD57CF" w:rsidRDefault="003E032E" w:rsidP="003E032E">
    <w:pPr>
      <w:spacing w:after="0" w:line="240" w:lineRule="auto"/>
      <w:rPr>
        <w:color w:val="1F497D" w:themeColor="text2"/>
        <w14:textOutline w14:w="6350" w14:cap="rnd" w14:cmpd="sng" w14:algn="ctr">
          <w14:solidFill>
            <w14:schemeClr w14:val="tx1"/>
          </w14:solidFill>
          <w14:prstDash w14:val="solid"/>
          <w14:bevel/>
        </w14:textOutline>
      </w:rPr>
    </w:pPr>
    <w:r w:rsidRPr="003E032E">
      <w:rPr>
        <w:rFonts w:ascii="Arial" w:hAnsi="Arial" w:cs="Arial"/>
        <w:noProof/>
        <w:color w:val="001BA0"/>
        <w:lang w:eastAsia="en-GB"/>
      </w:rPr>
      <w:drawing>
        <wp:inline distT="0" distB="0" distL="0" distR="0" wp14:anchorId="063C5A5C" wp14:editId="54632CF3">
          <wp:extent cx="184590" cy="200025"/>
          <wp:effectExtent l="0" t="0" r="6350" b="0"/>
          <wp:docPr id="7" name="emb42E4F7B59" descr="Image result for facebook logo">
            <a:hlinkClick xmlns:a="http://schemas.openxmlformats.org/drawingml/2006/main" r:id="rId1" tooltip="&quot;Search images of facebook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2E4F7B59" descr="Image result for facebook logo">
                    <a:hlinkClick r:id="rId1" tooltip="&quot;Search images of facebook logo&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098" cy="199492"/>
                  </a:xfrm>
                  <a:prstGeom prst="rect">
                    <a:avLst/>
                  </a:prstGeom>
                  <a:noFill/>
                  <a:ln>
                    <a:noFill/>
                  </a:ln>
                </pic:spPr>
              </pic:pic>
            </a:graphicData>
          </a:graphic>
        </wp:inline>
      </w:drawing>
    </w:r>
    <w:r w:rsidRPr="003E032E">
      <w:rPr>
        <w:b/>
        <w:color w:val="1F497D" w:themeColor="text2"/>
      </w:rPr>
      <w:t>@TheBlueDoorSupport</w:t>
    </w:r>
    <w:r w:rsidRPr="003E032E">
      <w:ptab w:relativeTo="margin" w:alignment="center" w:leader="none"/>
    </w:r>
    <w:r w:rsidRPr="003E032E">
      <w:rPr>
        <w14:textOutline w14:w="6350" w14:cap="rnd" w14:cmpd="sng" w14:algn="ctr">
          <w14:solidFill>
            <w14:schemeClr w14:val="tx1"/>
          </w14:solidFill>
          <w14:prstDash w14:val="solid"/>
          <w14:bevel/>
        </w14:textOutline>
      </w:rPr>
      <w:t xml:space="preserve"> The Blue Door</w:t>
    </w:r>
    <w:r w:rsidR="00CD57CF">
      <w:rPr>
        <w14:textOutline w14:w="6350" w14:cap="rnd" w14:cmpd="sng" w14:algn="ctr">
          <w14:solidFill>
            <w14:schemeClr w14:val="tx1"/>
          </w14:solidFill>
          <w14:prstDash w14:val="solid"/>
          <w14:bevel/>
        </w14:textOutline>
      </w:rPr>
      <w:tab/>
    </w:r>
    <w:r w:rsidR="00CD57CF">
      <w:rPr>
        <w14:textOutline w14:w="6350" w14:cap="rnd" w14:cmpd="sng" w14:algn="ctr">
          <w14:solidFill>
            <w14:schemeClr w14:val="tx1"/>
          </w14:solidFill>
          <w14:prstDash w14:val="solid"/>
          <w14:bevel/>
        </w14:textOutline>
      </w:rPr>
      <w:tab/>
    </w:r>
    <w:r w:rsidR="00CD57CF" w:rsidRPr="00CD57CF">
      <w:rPr>
        <w:color w:val="1F497D" w:themeColor="text2"/>
        <w14:textOutline w14:w="6350" w14:cap="rnd" w14:cmpd="sng" w14:algn="ctr">
          <w14:solidFill>
            <w14:schemeClr w14:val="tx1"/>
          </w14:solidFill>
          <w14:prstDash w14:val="solid"/>
          <w14:bevel/>
        </w14:textOutline>
      </w:rPr>
      <w:t>info@thebluedoor.org</w:t>
    </w:r>
  </w:p>
  <w:p w14:paraId="41CEB3E2" w14:textId="77777777" w:rsidR="003E032E" w:rsidRPr="003E032E" w:rsidRDefault="00CD57CF" w:rsidP="00CD57CF">
    <w:pPr>
      <w:spacing w:after="0" w:line="240" w:lineRule="auto"/>
      <w:ind w:left="2880"/>
      <w:jc w:val="center"/>
      <w:rPr>
        <w:sz w:val="18"/>
        <w:szCs w:val="18"/>
        <w14:textOutline w14:w="6350" w14:cap="rnd" w14:cmpd="sng" w14:algn="ctr">
          <w14:solidFill>
            <w14:schemeClr w14:val="tx1"/>
          </w14:solidFill>
          <w14:prstDash w14:val="solid"/>
          <w14:bevel/>
        </w14:textOutline>
      </w:rPr>
    </w:pPr>
    <w:r>
      <w:rPr>
        <w:sz w:val="18"/>
        <w:szCs w:val="18"/>
        <w14:textOutline w14:w="6350" w14:cap="rnd" w14:cmpd="sng" w14:algn="ctr">
          <w14:solidFill>
            <w14:schemeClr w14:val="tx1"/>
          </w14:solidFill>
          <w14:prstDash w14:val="solid"/>
          <w14:bevel/>
        </w14:textOutline>
      </w:rPr>
      <w:t xml:space="preserve">       </w:t>
    </w:r>
    <w:r w:rsidR="003E032E" w:rsidRPr="003E032E">
      <w:rPr>
        <w:sz w:val="18"/>
        <w:szCs w:val="18"/>
        <w14:textOutline w14:w="6350" w14:cap="rnd" w14:cmpd="sng" w14:algn="ctr">
          <w14:solidFill>
            <w14:schemeClr w14:val="tx1"/>
          </w14:solidFill>
          <w14:prstDash w14:val="solid"/>
          <w14:bevel/>
        </w14:textOutline>
      </w:rPr>
      <w:t xml:space="preserve">26 – 28 </w:t>
    </w:r>
    <w:proofErr w:type="spellStart"/>
    <w:r w:rsidR="003E032E" w:rsidRPr="003E032E">
      <w:rPr>
        <w:sz w:val="18"/>
        <w:szCs w:val="18"/>
        <w14:textOutline w14:w="6350" w14:cap="rnd" w14:cmpd="sng" w14:algn="ctr">
          <w14:solidFill>
            <w14:schemeClr w14:val="tx1"/>
          </w14:solidFill>
          <w14:prstDash w14:val="solid"/>
          <w14:bevel/>
        </w14:textOutline>
      </w:rPr>
      <w:t>Laneham</w:t>
    </w:r>
    <w:proofErr w:type="spellEnd"/>
    <w:r w:rsidR="003E032E" w:rsidRPr="003E032E">
      <w:rPr>
        <w:sz w:val="18"/>
        <w:szCs w:val="18"/>
        <w14:textOutline w14:w="6350" w14:cap="rnd" w14:cmpd="sng" w14:algn="ctr">
          <w14:solidFill>
            <w14:schemeClr w14:val="tx1"/>
          </w14:solidFill>
          <w14:prstDash w14:val="solid"/>
          <w14:bevel/>
        </w14:textOutline>
      </w:rPr>
      <w:t xml:space="preserve"> Street</w:t>
    </w:r>
    <w:r>
      <w:rPr>
        <w:sz w:val="18"/>
        <w:szCs w:val="18"/>
        <w14:textOutline w14:w="6350" w14:cap="rnd" w14:cmpd="sng" w14:algn="ctr">
          <w14:solidFill>
            <w14:schemeClr w14:val="tx1"/>
          </w14:solidFill>
          <w14:prstDash w14:val="solid"/>
          <w14:bevel/>
        </w14:textOutline>
      </w:rPr>
      <w:t xml:space="preserve">                    </w:t>
    </w:r>
    <w:r>
      <w:rPr>
        <w:sz w:val="18"/>
        <w:szCs w:val="18"/>
        <w14:textOutline w14:w="6350" w14:cap="rnd" w14:cmpd="sng" w14:algn="ctr">
          <w14:solidFill>
            <w14:schemeClr w14:val="tx1"/>
          </w14:solidFill>
          <w14:prstDash w14:val="solid"/>
          <w14:bevel/>
        </w14:textOutline>
      </w:rPr>
      <w:tab/>
      <w:t xml:space="preserve">   </w:t>
    </w:r>
    <w:r w:rsidRPr="00CD57CF">
      <w:rPr>
        <w:color w:val="4F81BD" w:themeColor="accent1"/>
        <w14:textOutline w14:w="6350" w14:cap="rnd" w14:cmpd="sng" w14:algn="ctr">
          <w14:solidFill>
            <w14:schemeClr w14:val="tx1"/>
          </w14:solidFill>
          <w14:prstDash w14:val="solid"/>
          <w14:bevel/>
        </w14:textOutline>
      </w:rPr>
      <w:t>www.thebluedoor.org</w:t>
    </w:r>
  </w:p>
  <w:p w14:paraId="31D7CCCE" w14:textId="77777777" w:rsidR="003E032E" w:rsidRPr="003E032E" w:rsidRDefault="003E032E" w:rsidP="003E032E">
    <w:pPr>
      <w:spacing w:after="0" w:line="240" w:lineRule="auto"/>
      <w:jc w:val="center"/>
      <w:rPr>
        <w:sz w:val="18"/>
        <w:szCs w:val="18"/>
        <w14:textOutline w14:w="6350" w14:cap="rnd" w14:cmpd="sng" w14:algn="ctr">
          <w14:solidFill>
            <w14:schemeClr w14:val="tx1"/>
          </w14:solidFill>
          <w14:prstDash w14:val="solid"/>
          <w14:bevel/>
        </w14:textOutline>
      </w:rPr>
    </w:pPr>
    <w:r w:rsidRPr="003E032E">
      <w:rPr>
        <w:sz w:val="18"/>
        <w:szCs w:val="18"/>
        <w14:textOutline w14:w="6350" w14:cap="rnd" w14:cmpd="sng" w14:algn="ctr">
          <w14:solidFill>
            <w14:schemeClr w14:val="tx1"/>
          </w14:solidFill>
          <w14:prstDash w14:val="solid"/>
          <w14:bevel/>
        </w14:textOutline>
      </w:rPr>
      <w:t xml:space="preserve">Scunthorpe </w:t>
    </w:r>
  </w:p>
  <w:p w14:paraId="3ED8BD4C" w14:textId="77777777" w:rsidR="003E032E" w:rsidRPr="003E032E" w:rsidRDefault="003E032E" w:rsidP="003E032E">
    <w:pPr>
      <w:spacing w:after="0" w:line="240" w:lineRule="auto"/>
      <w:jc w:val="center"/>
      <w:rPr>
        <w:sz w:val="18"/>
        <w:szCs w:val="18"/>
        <w14:textOutline w14:w="6350" w14:cap="rnd" w14:cmpd="sng" w14:algn="ctr">
          <w14:solidFill>
            <w14:schemeClr w14:val="tx1"/>
          </w14:solidFill>
          <w14:prstDash w14:val="solid"/>
          <w14:bevel/>
        </w14:textOutline>
      </w:rPr>
    </w:pPr>
    <w:r w:rsidRPr="003E032E">
      <w:rPr>
        <w:sz w:val="18"/>
        <w:szCs w:val="18"/>
        <w14:textOutline w14:w="6350" w14:cap="rnd" w14:cmpd="sng" w14:algn="ctr">
          <w14:solidFill>
            <w14:schemeClr w14:val="tx1"/>
          </w14:solidFill>
          <w14:prstDash w14:val="solid"/>
          <w14:bevel/>
        </w14:textOutline>
      </w:rPr>
      <w:t xml:space="preserve">North Lincolnshire </w:t>
    </w:r>
  </w:p>
  <w:p w14:paraId="1BE2EADF" w14:textId="77777777" w:rsidR="003E032E" w:rsidRPr="003E032E" w:rsidRDefault="003E032E" w:rsidP="003E032E">
    <w:pPr>
      <w:spacing w:after="0" w:line="240" w:lineRule="auto"/>
      <w:jc w:val="center"/>
      <w:rPr>
        <w:sz w:val="18"/>
        <w:szCs w:val="18"/>
        <w14:textOutline w14:w="6350" w14:cap="rnd" w14:cmpd="sng" w14:algn="ctr">
          <w14:solidFill>
            <w14:schemeClr w14:val="tx1"/>
          </w14:solidFill>
          <w14:prstDash w14:val="solid"/>
          <w14:bevel/>
        </w14:textOutline>
      </w:rPr>
    </w:pPr>
    <w:r w:rsidRPr="003E032E">
      <w:rPr>
        <w:sz w:val="18"/>
        <w:szCs w:val="18"/>
        <w14:textOutline w14:w="6350" w14:cap="rnd" w14:cmpd="sng" w14:algn="ctr">
          <w14:solidFill>
            <w14:schemeClr w14:val="tx1"/>
          </w14:solidFill>
          <w14:prstDash w14:val="solid"/>
          <w14:bevel/>
        </w14:textOutline>
      </w:rPr>
      <w:t>DN15 6PB</w:t>
    </w:r>
  </w:p>
  <w:p w14:paraId="6B5933D1" w14:textId="77777777" w:rsidR="003E032E" w:rsidRPr="003E032E" w:rsidRDefault="003E032E" w:rsidP="003E032E">
    <w:pPr>
      <w:rPr>
        <w:b/>
        <w:color w:val="1F497D" w:themeColor="text2"/>
        <w:sz w:val="32"/>
        <w:szCs w:val="32"/>
      </w:rP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F5B3" w14:textId="77777777" w:rsidR="00DB7C98" w:rsidRDefault="00DB7C98" w:rsidP="003E032E">
      <w:pPr>
        <w:spacing w:after="0" w:line="240" w:lineRule="auto"/>
      </w:pPr>
      <w:r>
        <w:separator/>
      </w:r>
    </w:p>
  </w:footnote>
  <w:footnote w:type="continuationSeparator" w:id="0">
    <w:p w14:paraId="00989313" w14:textId="77777777" w:rsidR="00DB7C98" w:rsidRDefault="00DB7C98" w:rsidP="003E0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A9E"/>
    <w:multiLevelType w:val="hybridMultilevel"/>
    <w:tmpl w:val="950EB4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E5EA7"/>
    <w:multiLevelType w:val="hybridMultilevel"/>
    <w:tmpl w:val="E41452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19"/>
    <w:rsid w:val="000B4FE8"/>
    <w:rsid w:val="00352CD9"/>
    <w:rsid w:val="003E032E"/>
    <w:rsid w:val="00415119"/>
    <w:rsid w:val="00442ADD"/>
    <w:rsid w:val="00447641"/>
    <w:rsid w:val="004C0AD6"/>
    <w:rsid w:val="004C1D49"/>
    <w:rsid w:val="00576689"/>
    <w:rsid w:val="00696728"/>
    <w:rsid w:val="007732B7"/>
    <w:rsid w:val="007869E5"/>
    <w:rsid w:val="00831A38"/>
    <w:rsid w:val="008D7BB0"/>
    <w:rsid w:val="00CD57CF"/>
    <w:rsid w:val="00D47AFE"/>
    <w:rsid w:val="00DA122B"/>
    <w:rsid w:val="00DB7C98"/>
    <w:rsid w:val="00E0745C"/>
    <w:rsid w:val="00F134E3"/>
    <w:rsid w:val="00F6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547A5"/>
  <w15:docId w15:val="{852867D7-6654-4E76-A70E-AFA74518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19"/>
    <w:rPr>
      <w:rFonts w:ascii="Tahoma" w:hAnsi="Tahoma" w:cs="Tahoma"/>
      <w:sz w:val="16"/>
      <w:szCs w:val="16"/>
    </w:rPr>
  </w:style>
  <w:style w:type="table" w:styleId="TableGrid">
    <w:name w:val="Table Grid"/>
    <w:basedOn w:val="TableNormal"/>
    <w:uiPriority w:val="59"/>
    <w:rsid w:val="00415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2B7"/>
    <w:rPr>
      <w:color w:val="0000FF" w:themeColor="hyperlink"/>
      <w:u w:val="single"/>
    </w:rPr>
  </w:style>
  <w:style w:type="paragraph" w:styleId="ListParagraph">
    <w:name w:val="List Paragraph"/>
    <w:basedOn w:val="Normal"/>
    <w:uiPriority w:val="34"/>
    <w:qFormat/>
    <w:rsid w:val="00F134E3"/>
    <w:pPr>
      <w:ind w:left="720"/>
      <w:contextualSpacing/>
    </w:pPr>
  </w:style>
  <w:style w:type="paragraph" w:styleId="Header">
    <w:name w:val="header"/>
    <w:basedOn w:val="Normal"/>
    <w:link w:val="HeaderChar"/>
    <w:uiPriority w:val="99"/>
    <w:unhideWhenUsed/>
    <w:rsid w:val="003E0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32E"/>
  </w:style>
  <w:style w:type="paragraph" w:styleId="Footer">
    <w:name w:val="footer"/>
    <w:basedOn w:val="Normal"/>
    <w:link w:val="FooterChar"/>
    <w:uiPriority w:val="99"/>
    <w:unhideWhenUsed/>
    <w:rsid w:val="003E0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bluedoor.org"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bing.com/images/search?q=facebook+logo&amp;id=80CA7E2E04173BF81CD3AD710B8C998264B0A621&amp;FORM=IQFR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Donna Hamlett</cp:lastModifiedBy>
  <cp:revision>2</cp:revision>
  <cp:lastPrinted>2017-01-27T14:20:00Z</cp:lastPrinted>
  <dcterms:created xsi:type="dcterms:W3CDTF">2021-05-19T08:29:00Z</dcterms:created>
  <dcterms:modified xsi:type="dcterms:W3CDTF">2021-05-19T08:29:00Z</dcterms:modified>
</cp:coreProperties>
</file>